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10E0" w:rsidRPr="00F53A74" w:rsidRDefault="00F8701C" w:rsidP="009C10E0">
      <w:pPr>
        <w:spacing w:after="0"/>
        <w:rPr>
          <w:rFonts w:ascii="Franklin Gothic Demi" w:hAnsi="Franklin Gothic Demi" w:cs="Arial"/>
          <w:color w:val="E94715"/>
          <w:sz w:val="44"/>
          <w:szCs w:val="44"/>
          <w14:textFill>
            <w14:solidFill>
              <w14:srgbClr w14:val="E94715">
                <w14:lumMod w14:val="75000"/>
              </w14:srgbClr>
            </w14:solidFill>
          </w14:textFill>
        </w:rPr>
      </w:pPr>
      <w:r w:rsidRPr="00F53A74">
        <w:rPr>
          <w:rFonts w:ascii="Franklin Gothic Demi" w:hAnsi="Franklin Gothic Demi" w:cs="Arial"/>
          <w:noProof/>
          <w:color w:val="E94715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34F6" wp14:editId="2D477B58">
                <wp:simplePos x="0" y="0"/>
                <wp:positionH relativeFrom="column">
                  <wp:posOffset>3257550</wp:posOffset>
                </wp:positionH>
                <wp:positionV relativeFrom="paragraph">
                  <wp:posOffset>-657225</wp:posOffset>
                </wp:positionV>
                <wp:extent cx="3067050" cy="1104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01C" w:rsidRDefault="00F8701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1D193" wp14:editId="0A41D690">
                                  <wp:extent cx="2552700" cy="10001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-51.75pt;width:241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cKIgIAACM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" stroked="f">
                <v:textbox>
                  <w:txbxContent>
                    <w:p w:rsidR="00F8701C" w:rsidRDefault="00F8701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1D193" wp14:editId="0A41D690">
                            <wp:extent cx="2552700" cy="10001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3A74">
        <w:rPr>
          <w:rFonts w:ascii="Franklin Gothic Demi" w:hAnsi="Franklin Gothic Demi" w:cs="Arial"/>
          <w:noProof/>
          <w:color w:val="E94715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3B0EC" wp14:editId="67B72480">
                <wp:simplePos x="0" y="0"/>
                <wp:positionH relativeFrom="column">
                  <wp:posOffset>-47625</wp:posOffset>
                </wp:positionH>
                <wp:positionV relativeFrom="paragraph">
                  <wp:posOffset>-419100</wp:posOffset>
                </wp:positionV>
                <wp:extent cx="1952625" cy="5905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E0" w:rsidRDefault="009C10E0"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D14414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5C77951" wp14:editId="10860347">
                                  <wp:extent cx="1657350" cy="438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M_Primary_logo_RG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136" cy="43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-33pt;width:153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" stroked="f">
                <v:textbox>
                  <w:txbxContent>
                    <w:p w:rsidR="009C10E0" w:rsidRDefault="009C10E0">
                      <w:r>
                        <w:rPr>
                          <w:rFonts w:ascii="Verdana" w:hAnsi="Verdana"/>
                          <w:b/>
                          <w:noProof/>
                          <w:color w:val="D14414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45C77951" wp14:editId="10860347">
                            <wp:extent cx="1657350" cy="438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M_Primary_logo_RG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136" cy="43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10E0" w:rsidRPr="00F53A74" w:rsidRDefault="009C10E0" w:rsidP="009C10E0">
      <w:pPr>
        <w:spacing w:after="0"/>
        <w:rPr>
          <w:rFonts w:ascii="Franklin Gothic Demi" w:hAnsi="Franklin Gothic Demi" w:cs="Arial"/>
          <w:color w:val="E36C0A" w:themeColor="accent6" w:themeShade="BF"/>
          <w:sz w:val="44"/>
          <w:szCs w:val="44"/>
        </w:rPr>
      </w:pPr>
      <w:r w:rsidRPr="00F53A74">
        <w:rPr>
          <w:rFonts w:ascii="Franklin Gothic Demi" w:hAnsi="Franklin Gothic Demi" w:cs="Arial"/>
          <w:color w:val="E36C0A" w:themeColor="accent6" w:themeShade="BF"/>
          <w:sz w:val="44"/>
          <w:szCs w:val="44"/>
        </w:rPr>
        <w:t>Mental Health Matters</w:t>
      </w:r>
    </w:p>
    <w:p w:rsidR="009C10E0" w:rsidRPr="009C10E0" w:rsidRDefault="009C10E0" w:rsidP="009C10E0">
      <w:pPr>
        <w:jc w:val="both"/>
        <w:rPr>
          <w:rFonts w:eastAsia="Calibri" w:cs="Arial"/>
          <w:color w:val="000000" w:themeColor="text1"/>
          <w:sz w:val="28"/>
          <w:szCs w:val="28"/>
          <w:lang w:val="en"/>
        </w:rPr>
      </w:pPr>
      <w:r w:rsidRPr="009C10E0">
        <w:rPr>
          <w:rFonts w:cs="Arial"/>
          <w:color w:val="000000" w:themeColor="text1"/>
          <w:sz w:val="28"/>
          <w:szCs w:val="28"/>
        </w:rPr>
        <w:t>This one-day multi</w:t>
      </w:r>
      <w:r w:rsidR="00F8701C">
        <w:rPr>
          <w:rFonts w:cs="Arial"/>
          <w:color w:val="000000" w:themeColor="text1"/>
          <w:sz w:val="28"/>
          <w:szCs w:val="28"/>
        </w:rPr>
        <w:t>-</w:t>
      </w:r>
      <w:r w:rsidRPr="009C10E0">
        <w:rPr>
          <w:rFonts w:cs="Arial"/>
          <w:color w:val="000000" w:themeColor="text1"/>
          <w:sz w:val="28"/>
          <w:szCs w:val="28"/>
        </w:rPr>
        <w:t xml:space="preserve">disciplinary course will enable participants to consider how, through their role; they can promote the mental health and wellbeing of young people, identify early mental health problems and work together with others to improve access to services and support. </w:t>
      </w:r>
      <w:r w:rsidRPr="009C10E0">
        <w:rPr>
          <w:rFonts w:eastAsia="Calibri" w:cs="Arial"/>
          <w:color w:val="000000" w:themeColor="text1"/>
          <w:sz w:val="28"/>
          <w:szCs w:val="28"/>
          <w:lang w:val="en"/>
        </w:rPr>
        <w:t xml:space="preserve">Participants will explore models of resilience and the ways in which resilience can be developed and strengthened, in the young people that they are working with and in </w:t>
      </w:r>
      <w:proofErr w:type="gramStart"/>
      <w:r w:rsidRPr="009C10E0">
        <w:rPr>
          <w:rFonts w:eastAsia="Calibri" w:cs="Arial"/>
          <w:color w:val="000000" w:themeColor="text1"/>
          <w:sz w:val="28"/>
          <w:szCs w:val="28"/>
          <w:lang w:val="en"/>
        </w:rPr>
        <w:t>themselves</w:t>
      </w:r>
      <w:proofErr w:type="gramEnd"/>
      <w:r w:rsidRPr="009C10E0">
        <w:rPr>
          <w:rFonts w:eastAsia="Calibri" w:cs="Arial"/>
          <w:color w:val="000000" w:themeColor="text1"/>
          <w:sz w:val="28"/>
          <w:szCs w:val="28"/>
          <w:lang w:val="en"/>
        </w:rPr>
        <w:t xml:space="preserve">. The course will be interactive and will include a combination of discussion and group work. </w:t>
      </w:r>
    </w:p>
    <w:p w:rsidR="009C10E0" w:rsidRDefault="009C10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192405</wp:posOffset>
                </wp:positionV>
                <wp:extent cx="5715000" cy="0"/>
                <wp:effectExtent l="38100" t="38100" r="57150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15pt" to="4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" strokecolor="#e36c0a [2409]">
                <v:stroke startarrow="oval" endarrow="oval"/>
              </v:line>
            </w:pict>
          </mc:Fallback>
        </mc:AlternateContent>
      </w:r>
    </w:p>
    <w:p w:rsidR="009C10E0" w:rsidRPr="009C10E0" w:rsidRDefault="009C10E0" w:rsidP="009C10E0">
      <w:pPr>
        <w:spacing w:after="0"/>
        <w:rPr>
          <w:sz w:val="16"/>
          <w:szCs w:val="16"/>
        </w:rPr>
      </w:pPr>
    </w:p>
    <w:p w:rsidR="009C10E0" w:rsidRPr="00F53A74" w:rsidRDefault="009C10E0" w:rsidP="009C10E0">
      <w:pPr>
        <w:spacing w:after="0"/>
        <w:rPr>
          <w:rFonts w:ascii="Franklin Gothic Demi" w:hAnsi="Franklin Gothic Demi" w:cs="Arial"/>
          <w:color w:val="E36C0A" w:themeColor="accent6" w:themeShade="BF"/>
          <w:sz w:val="36"/>
          <w:szCs w:val="36"/>
        </w:rPr>
      </w:pPr>
      <w:r w:rsidRPr="00F53A74">
        <w:rPr>
          <w:rFonts w:ascii="Franklin Gothic Demi" w:hAnsi="Franklin Gothic Demi" w:cs="Arial"/>
          <w:color w:val="E36C0A" w:themeColor="accent6" w:themeShade="BF"/>
          <w:sz w:val="36"/>
          <w:szCs w:val="36"/>
        </w:rPr>
        <w:t>What we will cover: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What we mean by mental health, mental health problems, disorders, illness and behaviours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What we know are the most common issues and illnesses that young people face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Adolescent development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 xml:space="preserve">What we can do to support young people experiencing, or at risk of, mental health problems 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Signs and symptoms that young people might be experiencing mental illness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What young people tell us makes a difference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="Times New Roman" w:cs="Arial"/>
          <w:color w:val="000000" w:themeColor="text1"/>
          <w:kern w:val="24"/>
          <w:sz w:val="32"/>
          <w:szCs w:val="32"/>
          <w:lang w:eastAsia="en-GB"/>
        </w:rPr>
        <w:t>An understanding of why young people might self harm and to explore ways in which you can respond positively in order to help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="Times New Roman" w:cs="Arial"/>
          <w:color w:val="000000" w:themeColor="text1"/>
          <w:kern w:val="24"/>
          <w:sz w:val="32"/>
          <w:szCs w:val="32"/>
          <w:lang w:eastAsia="en-GB"/>
        </w:rPr>
        <w:t>To give participants some knowledge as well as practical tools which you can use to assess risk and promote resilience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Finding resilience in ourselves, our workplaces and networks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Connecting young people to resources that enable them to become more resilient</w:t>
      </w:r>
    </w:p>
    <w:p w:rsidR="009C10E0" w:rsidRPr="009C10E0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>Implementing resilient practice</w:t>
      </w:r>
    </w:p>
    <w:p w:rsidR="009C10E0" w:rsidRPr="00F8701C" w:rsidRDefault="009C10E0" w:rsidP="009C10E0">
      <w:pPr>
        <w:pStyle w:val="ListParagraph"/>
        <w:numPr>
          <w:ilvl w:val="0"/>
          <w:numId w:val="7"/>
        </w:numPr>
        <w:spacing w:after="240" w:line="240" w:lineRule="auto"/>
        <w:ind w:left="714" w:hanging="357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  <w:r w:rsidRPr="009C10E0">
        <w:rPr>
          <w:rFonts w:eastAsiaTheme="minorEastAsia" w:cs="Arial"/>
          <w:color w:val="000000" w:themeColor="text1"/>
          <w:kern w:val="24"/>
          <w:sz w:val="32"/>
          <w:szCs w:val="32"/>
          <w:lang w:eastAsia="en-GB"/>
        </w:rPr>
        <w:t xml:space="preserve">Signposting </w:t>
      </w:r>
    </w:p>
    <w:sectPr w:rsidR="009C10E0" w:rsidRPr="00F87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numPicBullet w:numPicBulletId="1">
    <w:pict>
      <v:shape id="_x0000_i1027" type="#_x0000_t75" style="width:9pt;height:9pt" o:bullet="t">
        <v:imagedata r:id="rId2" o:title="BD21400_"/>
      </v:shape>
    </w:pict>
  </w:numPicBullet>
  <w:numPicBullet w:numPicBulletId="2">
    <w:pict>
      <v:shape id="_x0000_i1028" type="#_x0000_t75" style="width:9pt;height:9pt" o:bullet="t">
        <v:imagedata r:id="rId3" o:title="BD14514_"/>
      </v:shape>
    </w:pict>
  </w:numPicBullet>
  <w:abstractNum w:abstractNumId="0">
    <w:nsid w:val="0D5B0912"/>
    <w:multiLevelType w:val="hybridMultilevel"/>
    <w:tmpl w:val="5F18A306"/>
    <w:lvl w:ilvl="0" w:tplc="CF686A0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7A8C"/>
    <w:multiLevelType w:val="hybridMultilevel"/>
    <w:tmpl w:val="64769972"/>
    <w:lvl w:ilvl="0" w:tplc="D820F5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4431"/>
    <w:multiLevelType w:val="hybridMultilevel"/>
    <w:tmpl w:val="AEB862B4"/>
    <w:lvl w:ilvl="0" w:tplc="8EF02D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75BAA"/>
    <w:multiLevelType w:val="hybridMultilevel"/>
    <w:tmpl w:val="B944E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E4FB4"/>
    <w:multiLevelType w:val="hybridMultilevel"/>
    <w:tmpl w:val="CDA238FA"/>
    <w:lvl w:ilvl="0" w:tplc="246E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4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2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C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6C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3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C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62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0C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3376DB"/>
    <w:multiLevelType w:val="hybridMultilevel"/>
    <w:tmpl w:val="F3525632"/>
    <w:lvl w:ilvl="0" w:tplc="1A9A0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A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E3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7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3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4E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6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2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005DF6"/>
    <w:multiLevelType w:val="hybridMultilevel"/>
    <w:tmpl w:val="BE067CFE"/>
    <w:lvl w:ilvl="0" w:tplc="9EA49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0E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49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40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A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E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F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2B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E0"/>
    <w:rsid w:val="000F40F2"/>
    <w:rsid w:val="002650EA"/>
    <w:rsid w:val="003723C2"/>
    <w:rsid w:val="006F1B36"/>
    <w:rsid w:val="009C10E0"/>
    <w:rsid w:val="00F53A74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Centrepoint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Vikkii Chamberlain</dc:creator>
  <cp:lastModifiedBy>Claire Stollery</cp:lastModifiedBy>
  <cp:revision>2</cp:revision>
  <dcterms:created xsi:type="dcterms:W3CDTF">2015-12-07T13:05:00Z</dcterms:created>
  <dcterms:modified xsi:type="dcterms:W3CDTF">2015-12-07T13:05:00Z</dcterms:modified>
</cp:coreProperties>
</file>