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0B" w:rsidRPr="00E527B8" w:rsidRDefault="00F60E0B" w:rsidP="00F60E0B">
      <w:pPr>
        <w:pStyle w:val="Default"/>
        <w:rPr>
          <w:rFonts w:ascii="Arial" w:hAnsi="Arial" w:cs="Arial"/>
        </w:rPr>
      </w:pPr>
    </w:p>
    <w:p w:rsidR="00F60E0B" w:rsidRPr="00B52384" w:rsidRDefault="00F60E0B" w:rsidP="00F60E0B">
      <w:pPr>
        <w:pStyle w:val="Default"/>
        <w:jc w:val="center"/>
        <w:rPr>
          <w:rFonts w:asciiTheme="minorHAnsi" w:hAnsiTheme="minorHAnsi" w:cs="Arial"/>
          <w:b/>
          <w:u w:val="single"/>
        </w:rPr>
      </w:pPr>
      <w:bookmarkStart w:id="0" w:name="_GoBack"/>
      <w:r w:rsidRPr="00B52384">
        <w:rPr>
          <w:rFonts w:asciiTheme="minorHAnsi" w:hAnsiTheme="minorHAnsi" w:cs="Arial"/>
          <w:b/>
          <w:u w:val="single"/>
        </w:rPr>
        <w:t>Guidelines for Suicide Prevention Grassroots community funding</w:t>
      </w:r>
    </w:p>
    <w:bookmarkEnd w:id="0"/>
    <w:p w:rsidR="00F60E0B" w:rsidRPr="00B52384" w:rsidRDefault="00F60E0B" w:rsidP="00F60E0B">
      <w:pPr>
        <w:pStyle w:val="Default"/>
        <w:rPr>
          <w:rFonts w:asciiTheme="minorHAnsi" w:hAnsiTheme="minorHAnsi" w:cs="Arial"/>
          <w:b/>
          <w:bCs/>
        </w:rPr>
      </w:pPr>
    </w:p>
    <w:p w:rsidR="00F60E0B" w:rsidRPr="00B52384" w:rsidRDefault="00F60E0B" w:rsidP="00F60E0B">
      <w:pPr>
        <w:pStyle w:val="Default"/>
        <w:rPr>
          <w:rFonts w:asciiTheme="minorHAnsi" w:hAnsiTheme="minorHAnsi" w:cs="Arial"/>
          <w:b/>
          <w:bCs/>
        </w:rPr>
      </w:pPr>
      <w:r w:rsidRPr="00B52384">
        <w:rPr>
          <w:rFonts w:asciiTheme="minorHAnsi" w:hAnsiTheme="minorHAnsi" w:cs="Arial"/>
          <w:b/>
          <w:bCs/>
        </w:rPr>
        <w:t xml:space="preserve">What is the purpose of this funding? </w:t>
      </w:r>
    </w:p>
    <w:p w:rsidR="00F60E0B" w:rsidRPr="00B52384" w:rsidRDefault="00F60E0B" w:rsidP="00F60E0B">
      <w:pPr>
        <w:pStyle w:val="Default"/>
        <w:rPr>
          <w:rFonts w:asciiTheme="minorHAnsi" w:hAnsiTheme="minorHAnsi" w:cs="Arial"/>
        </w:rPr>
      </w:pPr>
    </w:p>
    <w:p w:rsidR="00F60E0B" w:rsidRPr="00B52384" w:rsidRDefault="00F60E0B" w:rsidP="00F60E0B">
      <w:pPr>
        <w:pStyle w:val="Default"/>
        <w:rPr>
          <w:rFonts w:asciiTheme="minorHAnsi" w:hAnsiTheme="minorHAnsi" w:cs="Arial"/>
        </w:rPr>
      </w:pPr>
      <w:r w:rsidRPr="00B52384">
        <w:rPr>
          <w:rFonts w:asciiTheme="minorHAnsi" w:hAnsiTheme="minorHAnsi" w:cs="Arial"/>
          <w:b/>
          <w:bCs/>
        </w:rPr>
        <w:t xml:space="preserve">This funding </w:t>
      </w:r>
      <w:r w:rsidRPr="00B52384">
        <w:rPr>
          <w:rFonts w:asciiTheme="minorHAnsi" w:hAnsiTheme="minorHAnsi" w:cs="Arial"/>
        </w:rPr>
        <w:t>is provided by the Tees Suicide Prevention Taskforce on behalf of Local Authorities (Hartlepool/Middlesbrough/Redcar &amp; Cleveland/</w:t>
      </w:r>
      <w:proofErr w:type="spellStart"/>
      <w:r w:rsidRPr="00B52384">
        <w:rPr>
          <w:rFonts w:asciiTheme="minorHAnsi" w:hAnsiTheme="minorHAnsi" w:cs="Arial"/>
        </w:rPr>
        <w:t>Stockton-on-Tees</w:t>
      </w:r>
      <w:proofErr w:type="spellEnd"/>
      <w:r w:rsidRPr="00B52384">
        <w:rPr>
          <w:rFonts w:asciiTheme="minorHAnsi" w:hAnsiTheme="minorHAnsi" w:cs="Arial"/>
        </w:rPr>
        <w:t xml:space="preserve">) through funding allocated by NHS England which is part of a number of initiatives that aim to reduce suicide rates in line with the national ambition of a reduction of 10% by 2020-2021  </w:t>
      </w:r>
    </w:p>
    <w:p w:rsidR="00F60E0B" w:rsidRPr="00B52384" w:rsidRDefault="00F60E0B" w:rsidP="00F60E0B">
      <w:pPr>
        <w:pStyle w:val="Default"/>
        <w:rPr>
          <w:rFonts w:asciiTheme="minorHAnsi" w:hAnsiTheme="minorHAnsi" w:cs="Arial"/>
        </w:rPr>
      </w:pPr>
    </w:p>
    <w:p w:rsidR="00F60E0B" w:rsidRPr="00B52384" w:rsidRDefault="00F60E0B" w:rsidP="00F60E0B">
      <w:pPr>
        <w:pStyle w:val="Default"/>
        <w:rPr>
          <w:rFonts w:asciiTheme="minorHAnsi" w:hAnsiTheme="minorHAnsi" w:cs="Arial"/>
          <w:b/>
        </w:rPr>
      </w:pPr>
      <w:r w:rsidRPr="00B52384">
        <w:rPr>
          <w:rFonts w:asciiTheme="minorHAnsi" w:hAnsiTheme="minorHAnsi" w:cs="Arial"/>
          <w:b/>
        </w:rPr>
        <w:t xml:space="preserve">Criteria: </w:t>
      </w:r>
    </w:p>
    <w:p w:rsidR="00F60E0B" w:rsidRPr="00B52384" w:rsidRDefault="00F60E0B" w:rsidP="00F60E0B">
      <w:pPr>
        <w:pStyle w:val="Default"/>
        <w:rPr>
          <w:rFonts w:asciiTheme="minorHAnsi" w:hAnsiTheme="minorHAnsi" w:cs="Arial"/>
        </w:rPr>
      </w:pPr>
      <w:r w:rsidRPr="00B52384">
        <w:rPr>
          <w:rFonts w:asciiTheme="minorHAnsi" w:hAnsiTheme="minorHAnsi" w:cs="Arial"/>
        </w:rPr>
        <w:t xml:space="preserve">The aim of the fund is for local organisations to develop and implement community based activities that will have a positive effect on the mental health and emotional wellbeing of local </w:t>
      </w:r>
      <w:r w:rsidRPr="00B52384">
        <w:rPr>
          <w:rFonts w:asciiTheme="minorHAnsi" w:hAnsiTheme="minorHAnsi" w:cs="Arial"/>
          <w:b/>
        </w:rPr>
        <w:t>male residents aged 25-65</w:t>
      </w:r>
      <w:r w:rsidRPr="00B52384">
        <w:rPr>
          <w:rFonts w:asciiTheme="minorHAnsi" w:hAnsiTheme="minorHAnsi" w:cs="Arial"/>
        </w:rPr>
        <w:t xml:space="preserve"> – particularly those people who are most vulnerable or isolated within our communities. </w:t>
      </w:r>
    </w:p>
    <w:p w:rsidR="00F60E0B" w:rsidRPr="00B52384" w:rsidRDefault="00F60E0B" w:rsidP="00F60E0B">
      <w:pPr>
        <w:pStyle w:val="Default"/>
        <w:rPr>
          <w:rFonts w:asciiTheme="minorHAnsi" w:hAnsiTheme="minorHAnsi" w:cs="Arial"/>
          <w:b/>
          <w:bCs/>
        </w:rPr>
      </w:pPr>
    </w:p>
    <w:p w:rsidR="00F60E0B" w:rsidRPr="00B52384" w:rsidRDefault="00F60E0B" w:rsidP="00F60E0B">
      <w:pPr>
        <w:pStyle w:val="Default"/>
        <w:rPr>
          <w:rFonts w:asciiTheme="minorHAnsi" w:hAnsiTheme="minorHAnsi" w:cs="Arial"/>
        </w:rPr>
      </w:pPr>
      <w:r w:rsidRPr="00B52384">
        <w:rPr>
          <w:rFonts w:asciiTheme="minorHAnsi" w:hAnsiTheme="minorHAnsi" w:cs="Arial"/>
          <w:b/>
          <w:bCs/>
        </w:rPr>
        <w:t xml:space="preserve">Grants available </w:t>
      </w:r>
    </w:p>
    <w:p w:rsidR="00F60E0B" w:rsidRPr="00B52384" w:rsidRDefault="00F60E0B" w:rsidP="00F60E0B">
      <w:pPr>
        <w:pStyle w:val="Default"/>
        <w:rPr>
          <w:rFonts w:asciiTheme="minorHAnsi" w:hAnsiTheme="minorHAnsi" w:cs="Arial"/>
        </w:rPr>
      </w:pPr>
      <w:r w:rsidRPr="00B52384">
        <w:rPr>
          <w:rFonts w:asciiTheme="minorHAnsi" w:hAnsiTheme="minorHAnsi" w:cs="Arial"/>
        </w:rPr>
        <w:t xml:space="preserve">Voluntary and community organisations can apply for grants between £1,000 and £5,000. </w:t>
      </w:r>
    </w:p>
    <w:p w:rsidR="00F60E0B" w:rsidRPr="00B52384" w:rsidRDefault="00F60E0B" w:rsidP="00F60E0B">
      <w:pPr>
        <w:pStyle w:val="Default"/>
        <w:rPr>
          <w:rFonts w:asciiTheme="minorHAnsi" w:hAnsiTheme="minorHAnsi" w:cs="Arial"/>
        </w:rPr>
      </w:pPr>
      <w:r w:rsidRPr="00B52384">
        <w:rPr>
          <w:rFonts w:asciiTheme="minorHAnsi" w:hAnsiTheme="minorHAnsi" w:cs="Arial"/>
        </w:rPr>
        <w:t xml:space="preserve">You must complete your project within 12 months of the date of our letter confirming the grant. </w:t>
      </w:r>
    </w:p>
    <w:p w:rsidR="00F60E0B" w:rsidRPr="00B52384" w:rsidRDefault="00F60E0B" w:rsidP="00F60E0B">
      <w:pPr>
        <w:pStyle w:val="Default"/>
        <w:rPr>
          <w:rFonts w:asciiTheme="minorHAnsi" w:hAnsiTheme="minorHAnsi" w:cs="Arial"/>
        </w:rPr>
      </w:pPr>
    </w:p>
    <w:p w:rsidR="00F60E0B" w:rsidRPr="00B52384" w:rsidRDefault="00F60E0B" w:rsidP="00F60E0B">
      <w:pPr>
        <w:pStyle w:val="Default"/>
        <w:rPr>
          <w:rFonts w:asciiTheme="minorHAnsi" w:hAnsiTheme="minorHAnsi" w:cs="Arial"/>
        </w:rPr>
      </w:pPr>
      <w:r w:rsidRPr="00B52384">
        <w:rPr>
          <w:rFonts w:asciiTheme="minorHAnsi" w:hAnsiTheme="minorHAnsi" w:cs="Arial"/>
          <w:b/>
          <w:bCs/>
        </w:rPr>
        <w:t xml:space="preserve">Who can apply? </w:t>
      </w:r>
    </w:p>
    <w:p w:rsidR="00F60E0B" w:rsidRPr="00B52384" w:rsidRDefault="00F60E0B" w:rsidP="00F60E0B">
      <w:pPr>
        <w:pStyle w:val="Default"/>
        <w:rPr>
          <w:rFonts w:asciiTheme="minorHAnsi" w:hAnsiTheme="minorHAnsi" w:cs="Arial"/>
        </w:rPr>
      </w:pPr>
      <w:r w:rsidRPr="00B52384">
        <w:rPr>
          <w:rFonts w:asciiTheme="minorHAnsi" w:hAnsiTheme="minorHAnsi" w:cs="Arial"/>
        </w:rPr>
        <w:t xml:space="preserve">Voluntary and community organisations that are working within the Teesside area </w:t>
      </w:r>
    </w:p>
    <w:p w:rsidR="00F60E0B" w:rsidRPr="00B52384" w:rsidRDefault="00F60E0B" w:rsidP="00F60E0B">
      <w:pPr>
        <w:pStyle w:val="Default"/>
        <w:rPr>
          <w:rFonts w:asciiTheme="minorHAnsi" w:hAnsiTheme="minorHAnsi" w:cs="Arial"/>
        </w:rPr>
      </w:pPr>
    </w:p>
    <w:p w:rsidR="00F60E0B" w:rsidRPr="00B52384" w:rsidRDefault="00F60E0B" w:rsidP="00F60E0B">
      <w:pPr>
        <w:pStyle w:val="Default"/>
        <w:rPr>
          <w:rFonts w:asciiTheme="minorHAnsi" w:hAnsiTheme="minorHAnsi" w:cs="Arial"/>
          <w:b/>
        </w:rPr>
      </w:pPr>
      <w:r w:rsidRPr="00B52384">
        <w:rPr>
          <w:rFonts w:asciiTheme="minorHAnsi" w:hAnsiTheme="minorHAnsi" w:cs="Arial"/>
          <w:b/>
        </w:rPr>
        <w:t xml:space="preserve">Who can </w:t>
      </w:r>
      <w:r w:rsidRPr="00B52384">
        <w:rPr>
          <w:rFonts w:asciiTheme="minorHAnsi" w:hAnsiTheme="minorHAnsi" w:cs="Arial"/>
          <w:b/>
          <w:u w:val="single"/>
        </w:rPr>
        <w:t>not</w:t>
      </w:r>
      <w:r w:rsidRPr="00B52384">
        <w:rPr>
          <w:rFonts w:asciiTheme="minorHAnsi" w:hAnsiTheme="minorHAnsi" w:cs="Arial"/>
          <w:b/>
        </w:rPr>
        <w:t xml:space="preserve"> apply?</w:t>
      </w:r>
    </w:p>
    <w:p w:rsidR="00F60E0B" w:rsidRPr="00B52384" w:rsidRDefault="00F60E0B" w:rsidP="00F60E0B">
      <w:pPr>
        <w:pStyle w:val="Default"/>
        <w:numPr>
          <w:ilvl w:val="0"/>
          <w:numId w:val="1"/>
        </w:numPr>
        <w:rPr>
          <w:rFonts w:asciiTheme="minorHAnsi" w:hAnsiTheme="minorHAnsi" w:cs="Arial"/>
        </w:rPr>
      </w:pPr>
      <w:r w:rsidRPr="00B52384">
        <w:rPr>
          <w:rFonts w:asciiTheme="minorHAnsi" w:hAnsiTheme="minorHAnsi" w:cs="Arial"/>
        </w:rPr>
        <w:t xml:space="preserve">Individuals </w:t>
      </w:r>
    </w:p>
    <w:p w:rsidR="00F60E0B" w:rsidRPr="00B52384" w:rsidRDefault="00F60E0B" w:rsidP="00F60E0B">
      <w:pPr>
        <w:pStyle w:val="Default"/>
        <w:numPr>
          <w:ilvl w:val="0"/>
          <w:numId w:val="1"/>
        </w:numPr>
        <w:rPr>
          <w:rFonts w:asciiTheme="minorHAnsi" w:hAnsiTheme="minorHAnsi" w:cs="Arial"/>
        </w:rPr>
      </w:pPr>
      <w:r w:rsidRPr="00B52384">
        <w:rPr>
          <w:rFonts w:asciiTheme="minorHAnsi" w:hAnsiTheme="minorHAnsi" w:cs="Arial"/>
        </w:rPr>
        <w:t xml:space="preserve">Sole traders </w:t>
      </w:r>
    </w:p>
    <w:p w:rsidR="00F60E0B" w:rsidRPr="00B52384" w:rsidRDefault="00F60E0B" w:rsidP="00F60E0B">
      <w:pPr>
        <w:pStyle w:val="Default"/>
        <w:rPr>
          <w:rFonts w:asciiTheme="minorHAnsi" w:hAnsiTheme="minorHAnsi" w:cs="Arial"/>
          <w:b/>
          <w:bCs/>
        </w:rPr>
      </w:pPr>
    </w:p>
    <w:p w:rsidR="00F60E0B" w:rsidRPr="00B52384" w:rsidRDefault="00F60E0B" w:rsidP="00F60E0B">
      <w:pPr>
        <w:pStyle w:val="Default"/>
        <w:rPr>
          <w:rFonts w:asciiTheme="minorHAnsi" w:hAnsiTheme="minorHAnsi" w:cs="Arial"/>
        </w:rPr>
      </w:pPr>
      <w:r w:rsidRPr="00B52384">
        <w:rPr>
          <w:rFonts w:asciiTheme="minorHAnsi" w:hAnsiTheme="minorHAnsi" w:cs="Arial"/>
          <w:b/>
          <w:bCs/>
        </w:rPr>
        <w:t xml:space="preserve">Applying again </w:t>
      </w:r>
    </w:p>
    <w:p w:rsidR="00F60E0B" w:rsidRPr="00B52384" w:rsidRDefault="00F60E0B" w:rsidP="00F60E0B">
      <w:pPr>
        <w:pStyle w:val="Default"/>
        <w:rPr>
          <w:rFonts w:asciiTheme="minorHAnsi" w:hAnsiTheme="minorHAnsi" w:cs="Arial"/>
        </w:rPr>
      </w:pPr>
      <w:r w:rsidRPr="00B52384">
        <w:rPr>
          <w:rFonts w:asciiTheme="minorHAnsi" w:hAnsiTheme="minorHAnsi" w:cs="Arial"/>
        </w:rPr>
        <w:t xml:space="preserve">The Suicide Prevention Grassroots Community Fund will not award more than one grant per organisation per local authority </w:t>
      </w:r>
      <w:r w:rsidR="00A7559E" w:rsidRPr="00B52384">
        <w:rPr>
          <w:rFonts w:asciiTheme="minorHAnsi" w:hAnsiTheme="minorHAnsi" w:cs="Arial"/>
        </w:rPr>
        <w:t xml:space="preserve">(to a maximum of £20,000 for the Tees Suicide Prevention Taskforce area) </w:t>
      </w:r>
      <w:r w:rsidRPr="00B52384">
        <w:rPr>
          <w:rFonts w:asciiTheme="minorHAnsi" w:hAnsiTheme="minorHAnsi" w:cs="Arial"/>
        </w:rPr>
        <w:t>within a twelve month period</w:t>
      </w:r>
      <w:r w:rsidRPr="00B52384">
        <w:rPr>
          <w:rFonts w:asciiTheme="minorHAnsi" w:hAnsiTheme="minorHAnsi" w:cs="Arial"/>
          <w:b/>
          <w:bCs/>
        </w:rPr>
        <w:t xml:space="preserve">. </w:t>
      </w:r>
      <w:r w:rsidRPr="00B52384">
        <w:rPr>
          <w:rFonts w:asciiTheme="minorHAnsi" w:hAnsiTheme="minorHAnsi" w:cs="Arial"/>
        </w:rPr>
        <w:t xml:space="preserve">We work this out using the date we confirmed our grant. This includes dependent branches. Your organisation as a whole (parent organisation and dependent branches) cannot receive more than one grant per locality within a twelve month period. </w:t>
      </w:r>
    </w:p>
    <w:p w:rsidR="00F60E0B" w:rsidRPr="00B52384" w:rsidRDefault="00F60E0B" w:rsidP="00F60E0B">
      <w:pPr>
        <w:pStyle w:val="Default"/>
        <w:rPr>
          <w:rFonts w:asciiTheme="minorHAnsi" w:hAnsiTheme="minorHAnsi" w:cs="Arial"/>
        </w:rPr>
      </w:pPr>
    </w:p>
    <w:p w:rsidR="00F60E0B" w:rsidRPr="00B52384" w:rsidRDefault="00F60E0B" w:rsidP="00F60E0B">
      <w:pPr>
        <w:pStyle w:val="Default"/>
        <w:rPr>
          <w:rFonts w:asciiTheme="minorHAnsi" w:hAnsiTheme="minorHAnsi" w:cs="Arial"/>
        </w:rPr>
      </w:pPr>
      <w:r w:rsidRPr="00B52384">
        <w:rPr>
          <w:rFonts w:asciiTheme="minorHAnsi" w:hAnsiTheme="minorHAnsi" w:cs="Arial"/>
          <w:b/>
          <w:bCs/>
        </w:rPr>
        <w:t xml:space="preserve">What types of activity will we fund? </w:t>
      </w:r>
    </w:p>
    <w:p w:rsidR="00F60E0B" w:rsidRPr="00B52384" w:rsidRDefault="00F60E0B" w:rsidP="00F60E0B">
      <w:pPr>
        <w:pStyle w:val="Default"/>
        <w:rPr>
          <w:rFonts w:asciiTheme="minorHAnsi" w:hAnsiTheme="minorHAnsi" w:cs="Arial"/>
        </w:rPr>
      </w:pPr>
      <w:r w:rsidRPr="00B52384">
        <w:rPr>
          <w:rFonts w:asciiTheme="minorHAnsi" w:hAnsiTheme="minorHAnsi" w:cs="Arial"/>
        </w:rPr>
        <w:t xml:space="preserve">Activities and community support for men who are 25-65 years of age that help to improve mental health and emotional wellbeing. Preference will be given to those projects that demonstrate innovative ways of engaging with men. Examples of the kinds of activities, but not exclusive to include: </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 xml:space="preserve">Lunch clubs/Cafes </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 xml:space="preserve">Befriending </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Art classes</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 xml:space="preserve">Peer support groups </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 xml:space="preserve">Physical activity groups </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 xml:space="preserve">Volunteering groups </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 xml:space="preserve">Equipment needed to support facilitation of groups </w:t>
      </w:r>
    </w:p>
    <w:p w:rsidR="00F60E0B" w:rsidRPr="00B52384" w:rsidRDefault="00F60E0B" w:rsidP="00F60E0B">
      <w:pPr>
        <w:pStyle w:val="Default"/>
        <w:numPr>
          <w:ilvl w:val="0"/>
          <w:numId w:val="2"/>
        </w:numPr>
        <w:rPr>
          <w:rFonts w:asciiTheme="minorHAnsi" w:hAnsiTheme="minorHAnsi" w:cs="Arial"/>
        </w:rPr>
      </w:pPr>
      <w:r w:rsidRPr="00B52384">
        <w:rPr>
          <w:rFonts w:asciiTheme="minorHAnsi" w:hAnsiTheme="minorHAnsi" w:cs="Arial"/>
        </w:rPr>
        <w:t xml:space="preserve">Partnership approaches are encouraged </w:t>
      </w:r>
    </w:p>
    <w:p w:rsidR="00F60E0B" w:rsidRPr="00B52384" w:rsidRDefault="00F60E0B" w:rsidP="00F60E0B">
      <w:pPr>
        <w:pStyle w:val="Default"/>
        <w:rPr>
          <w:rFonts w:asciiTheme="minorHAnsi" w:hAnsiTheme="minorHAnsi" w:cs="Arial"/>
        </w:rPr>
      </w:pPr>
    </w:p>
    <w:p w:rsidR="00F60E0B" w:rsidRPr="00B52384" w:rsidRDefault="00F60E0B" w:rsidP="00F60E0B">
      <w:pPr>
        <w:pStyle w:val="Default"/>
        <w:rPr>
          <w:rFonts w:asciiTheme="minorHAnsi" w:hAnsiTheme="minorHAnsi" w:cs="Arial"/>
          <w:b/>
        </w:rPr>
      </w:pPr>
      <w:r w:rsidRPr="00B52384">
        <w:rPr>
          <w:rFonts w:asciiTheme="minorHAnsi" w:hAnsiTheme="minorHAnsi" w:cs="Arial"/>
          <w:b/>
        </w:rPr>
        <w:t xml:space="preserve">What types of activity will we not fund? </w:t>
      </w:r>
    </w:p>
    <w:p w:rsidR="00F60E0B" w:rsidRPr="00B52384" w:rsidRDefault="00F60E0B" w:rsidP="00F60E0B">
      <w:pPr>
        <w:pStyle w:val="Default"/>
        <w:numPr>
          <w:ilvl w:val="0"/>
          <w:numId w:val="3"/>
        </w:numPr>
        <w:rPr>
          <w:rFonts w:asciiTheme="minorHAnsi" w:hAnsiTheme="minorHAnsi" w:cs="Arial"/>
        </w:rPr>
      </w:pPr>
      <w:r w:rsidRPr="00B52384">
        <w:rPr>
          <w:rFonts w:asciiTheme="minorHAnsi" w:hAnsiTheme="minorHAnsi" w:cs="Arial"/>
        </w:rPr>
        <w:t>One off events</w:t>
      </w:r>
    </w:p>
    <w:p w:rsidR="00F60E0B" w:rsidRPr="00B52384" w:rsidRDefault="00F60E0B" w:rsidP="00F60E0B">
      <w:pPr>
        <w:pStyle w:val="Default"/>
        <w:numPr>
          <w:ilvl w:val="0"/>
          <w:numId w:val="3"/>
        </w:numPr>
        <w:rPr>
          <w:rFonts w:asciiTheme="minorHAnsi" w:hAnsiTheme="minorHAnsi" w:cs="Arial"/>
        </w:rPr>
      </w:pPr>
      <w:r w:rsidRPr="00B52384">
        <w:rPr>
          <w:rFonts w:asciiTheme="minorHAnsi" w:hAnsiTheme="minorHAnsi" w:cs="Arial"/>
        </w:rPr>
        <w:t>Travel</w:t>
      </w:r>
    </w:p>
    <w:p w:rsidR="00F60E0B" w:rsidRPr="00B52384" w:rsidRDefault="00F60E0B" w:rsidP="00F60E0B">
      <w:pPr>
        <w:pStyle w:val="Default"/>
        <w:rPr>
          <w:rFonts w:asciiTheme="minorHAnsi" w:hAnsiTheme="minorHAnsi" w:cs="Arial"/>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b/>
          <w:bCs/>
          <w:color w:val="auto"/>
        </w:rPr>
        <w:t xml:space="preserve">Criteria for assessment </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lastRenderedPageBreak/>
        <w:t xml:space="preserve">Applications will be judged by an assessment of the quality of the information provided on the funding application and how well this relates to the priorities identified above. </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 xml:space="preserve">A decision relating to the approval of grants will be made by a panel from members of each Local Authority. Successful applicants will be notified via email. The decision of the panel is final and there will be no opportunity to appeal. </w:t>
      </w:r>
    </w:p>
    <w:p w:rsidR="00F60E0B" w:rsidRPr="00B52384" w:rsidRDefault="00F60E0B" w:rsidP="00F60E0B">
      <w:pPr>
        <w:pStyle w:val="Default"/>
        <w:rPr>
          <w:rFonts w:asciiTheme="minorHAnsi" w:hAnsiTheme="minorHAnsi" w:cs="Arial"/>
          <w:color w:val="auto"/>
        </w:rPr>
      </w:pPr>
    </w:p>
    <w:p w:rsidR="00F60E0B" w:rsidRPr="00B52384" w:rsidRDefault="00F60E0B" w:rsidP="00F60E0B">
      <w:pPr>
        <w:pStyle w:val="Default"/>
        <w:rPr>
          <w:rFonts w:asciiTheme="minorHAnsi" w:hAnsiTheme="minorHAnsi" w:cs="Arial"/>
          <w:color w:val="auto"/>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b/>
          <w:bCs/>
          <w:color w:val="auto"/>
        </w:rPr>
        <w:t xml:space="preserve">Monitoring and Evaluation </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 xml:space="preserve">There is a mandatory requirement for successful applicants to complete monitoring reports. You will be asked to complete a 6month report and an end of grant report telling us how the grant has been spent and what was achieved. We will be auditing the fund against bid criteria at regular intervals. </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 xml:space="preserve">You may be asked to showcase your project at appropriate partnership events. </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 xml:space="preserve">We may visit or telephone you, or ask to see original receipts to check how the grant was spent. </w:t>
      </w:r>
    </w:p>
    <w:p w:rsidR="00F60E0B" w:rsidRPr="00B52384" w:rsidRDefault="00F60E0B" w:rsidP="00F60E0B">
      <w:pPr>
        <w:pStyle w:val="Default"/>
        <w:rPr>
          <w:rFonts w:asciiTheme="minorHAnsi" w:hAnsiTheme="minorHAnsi" w:cs="Arial"/>
          <w:color w:val="auto"/>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b/>
          <w:bCs/>
          <w:color w:val="auto"/>
        </w:rPr>
        <w:t xml:space="preserve">Equal Opportunities </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 xml:space="preserve">Any organisation to whom payments are made must not commit any act of discrimination rendered unlawful by the Equality Act 2010. </w:t>
      </w:r>
    </w:p>
    <w:p w:rsidR="00F60E0B" w:rsidRPr="00B52384" w:rsidRDefault="00F60E0B" w:rsidP="00F60E0B">
      <w:pPr>
        <w:pStyle w:val="Default"/>
        <w:rPr>
          <w:rFonts w:asciiTheme="minorHAnsi" w:hAnsiTheme="minorHAnsi" w:cs="Arial"/>
          <w:b/>
          <w:bCs/>
          <w:color w:val="auto"/>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b/>
          <w:bCs/>
          <w:color w:val="auto"/>
        </w:rPr>
        <w:t xml:space="preserve">How to apply? </w:t>
      </w:r>
    </w:p>
    <w:p w:rsidR="00F60E0B" w:rsidRPr="00B52384" w:rsidRDefault="00F60E0B" w:rsidP="00F60E0B">
      <w:pPr>
        <w:pStyle w:val="Default"/>
        <w:rPr>
          <w:rFonts w:asciiTheme="minorHAnsi" w:hAnsiTheme="minorHAnsi" w:cs="Arial"/>
        </w:rPr>
      </w:pPr>
      <w:r w:rsidRPr="00B52384">
        <w:rPr>
          <w:rFonts w:asciiTheme="minorHAnsi" w:hAnsiTheme="minorHAnsi" w:cs="Arial"/>
          <w:color w:val="auto"/>
        </w:rPr>
        <w:t>Complete the application for</w:t>
      </w:r>
      <w:r w:rsidR="00C847A2" w:rsidRPr="00B52384">
        <w:rPr>
          <w:rFonts w:asciiTheme="minorHAnsi" w:hAnsiTheme="minorHAnsi" w:cs="Arial"/>
          <w:color w:val="auto"/>
        </w:rPr>
        <w:t xml:space="preserve">m </w:t>
      </w:r>
      <w:r w:rsidR="00A7559E" w:rsidRPr="00B52384">
        <w:rPr>
          <w:rFonts w:asciiTheme="minorHAnsi" w:hAnsiTheme="minorHAnsi" w:cs="Arial"/>
          <w:color w:val="auto"/>
        </w:rPr>
        <w:t xml:space="preserve">and send </w:t>
      </w:r>
      <w:r w:rsidRPr="00B52384">
        <w:rPr>
          <w:rFonts w:asciiTheme="minorHAnsi" w:hAnsiTheme="minorHAnsi" w:cs="Arial"/>
          <w:b/>
          <w:color w:val="auto"/>
        </w:rPr>
        <w:t xml:space="preserve">to Katie Bannister on </w:t>
      </w:r>
      <w:hyperlink r:id="rId7" w:history="1">
        <w:r w:rsidRPr="00B52384">
          <w:rPr>
            <w:rStyle w:val="Hyperlink"/>
            <w:rFonts w:asciiTheme="minorHAnsi" w:hAnsiTheme="minorHAnsi" w:cs="Arial"/>
          </w:rPr>
          <w:t>suicide_prevention_grassroots_community_funding@middlesbrough.gov.uk</w:t>
        </w:r>
      </w:hyperlink>
    </w:p>
    <w:p w:rsidR="00F60E0B" w:rsidRPr="00B52384" w:rsidRDefault="00F60E0B" w:rsidP="00F60E0B">
      <w:pPr>
        <w:pStyle w:val="Default"/>
        <w:rPr>
          <w:rFonts w:asciiTheme="minorHAnsi" w:hAnsiTheme="minorHAnsi" w:cs="Arial"/>
          <w:b/>
          <w:color w:val="auto"/>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 xml:space="preserve">We will also accept postal bids, but the deadline will still apply. Postal bids to be sent to: </w:t>
      </w:r>
    </w:p>
    <w:p w:rsidR="00F60E0B" w:rsidRPr="00B52384" w:rsidRDefault="00F60E0B" w:rsidP="00F60E0B">
      <w:pPr>
        <w:pStyle w:val="Default"/>
        <w:rPr>
          <w:rFonts w:asciiTheme="minorHAnsi" w:hAnsiTheme="minorHAnsi" w:cs="Arial"/>
          <w:color w:val="auto"/>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Katie Bannister</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Live Well Centre</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 xml:space="preserve">Dundas House </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Middlesbrough</w:t>
      </w: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color w:val="auto"/>
        </w:rPr>
        <w:t>TS1 1HR</w:t>
      </w:r>
    </w:p>
    <w:p w:rsidR="00F60E0B" w:rsidRPr="00B52384" w:rsidRDefault="00F60E0B" w:rsidP="00F60E0B">
      <w:pPr>
        <w:pStyle w:val="Default"/>
        <w:rPr>
          <w:rFonts w:asciiTheme="minorHAnsi" w:hAnsiTheme="minorHAnsi" w:cs="Arial"/>
          <w:color w:val="auto"/>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b/>
          <w:bCs/>
          <w:color w:val="auto"/>
        </w:rPr>
        <w:t xml:space="preserve">Further Advice </w:t>
      </w:r>
    </w:p>
    <w:p w:rsidR="00F60E0B" w:rsidRPr="00B52384" w:rsidRDefault="00A7559E" w:rsidP="00F60E0B">
      <w:pPr>
        <w:pStyle w:val="Default"/>
        <w:rPr>
          <w:rStyle w:val="Hyperlink"/>
          <w:rFonts w:asciiTheme="minorHAnsi" w:hAnsiTheme="minorHAnsi" w:cs="Arial"/>
        </w:rPr>
      </w:pPr>
      <w:r w:rsidRPr="00B52384">
        <w:rPr>
          <w:rFonts w:asciiTheme="minorHAnsi" w:hAnsiTheme="minorHAnsi" w:cs="Arial"/>
          <w:color w:val="auto"/>
        </w:rPr>
        <w:t>Advice on applying to the f</w:t>
      </w:r>
      <w:r w:rsidR="00F60E0B" w:rsidRPr="00B52384">
        <w:rPr>
          <w:rFonts w:asciiTheme="minorHAnsi" w:hAnsiTheme="minorHAnsi" w:cs="Arial"/>
          <w:color w:val="auto"/>
        </w:rPr>
        <w:t xml:space="preserve">und is available from Katie Bannister on </w:t>
      </w:r>
      <w:r w:rsidR="00F60E0B" w:rsidRPr="00B52384">
        <w:rPr>
          <w:rStyle w:val="Hyperlink"/>
          <w:rFonts w:asciiTheme="minorHAnsi" w:hAnsiTheme="minorHAnsi" w:cs="Arial"/>
        </w:rPr>
        <w:t>01642 728361</w:t>
      </w:r>
    </w:p>
    <w:p w:rsidR="00F60E0B" w:rsidRPr="00B52384" w:rsidRDefault="00F60E0B" w:rsidP="00F60E0B">
      <w:pPr>
        <w:pStyle w:val="Default"/>
        <w:rPr>
          <w:rFonts w:asciiTheme="minorHAnsi" w:hAnsiTheme="minorHAnsi" w:cs="Arial"/>
          <w:color w:val="auto"/>
        </w:rPr>
      </w:pPr>
      <w:r w:rsidRPr="00B52384">
        <w:rPr>
          <w:rStyle w:val="Hyperlink"/>
          <w:rFonts w:asciiTheme="minorHAnsi" w:hAnsiTheme="minorHAnsi" w:cs="Arial"/>
          <w:color w:val="auto"/>
          <w:u w:val="none"/>
        </w:rPr>
        <w:t xml:space="preserve">Only fully completed application forms will be considered. </w:t>
      </w:r>
    </w:p>
    <w:p w:rsidR="00F60E0B" w:rsidRPr="00B52384" w:rsidRDefault="00F60E0B" w:rsidP="00F60E0B">
      <w:pPr>
        <w:pStyle w:val="Default"/>
        <w:rPr>
          <w:rFonts w:asciiTheme="minorHAnsi" w:hAnsiTheme="minorHAnsi" w:cs="Arial"/>
          <w:b/>
          <w:bCs/>
          <w:color w:val="auto"/>
        </w:rPr>
      </w:pPr>
      <w:r w:rsidRPr="00B52384">
        <w:rPr>
          <w:rFonts w:asciiTheme="minorHAnsi" w:hAnsiTheme="minorHAnsi" w:cs="Arial"/>
          <w:b/>
          <w:bCs/>
          <w:color w:val="auto"/>
        </w:rPr>
        <w:t>THE CLOSING DATE FOR APPLICATIONS IS 25</w:t>
      </w:r>
      <w:r w:rsidRPr="00B52384">
        <w:rPr>
          <w:rFonts w:asciiTheme="minorHAnsi" w:hAnsiTheme="minorHAnsi" w:cs="Arial"/>
          <w:b/>
          <w:bCs/>
          <w:color w:val="auto"/>
          <w:vertAlign w:val="superscript"/>
        </w:rPr>
        <w:t>th</w:t>
      </w:r>
      <w:r w:rsidRPr="00B52384">
        <w:rPr>
          <w:rFonts w:asciiTheme="minorHAnsi" w:hAnsiTheme="minorHAnsi" w:cs="Arial"/>
          <w:b/>
          <w:bCs/>
          <w:color w:val="auto"/>
        </w:rPr>
        <w:t xml:space="preserve"> January 2019</w:t>
      </w:r>
    </w:p>
    <w:p w:rsidR="00F60E0B" w:rsidRPr="00B52384" w:rsidRDefault="00F60E0B" w:rsidP="00F60E0B">
      <w:pPr>
        <w:pStyle w:val="Default"/>
        <w:rPr>
          <w:rFonts w:asciiTheme="minorHAnsi" w:hAnsiTheme="minorHAnsi" w:cs="Arial"/>
          <w:color w:val="auto"/>
        </w:rPr>
      </w:pPr>
    </w:p>
    <w:p w:rsidR="00F60E0B" w:rsidRPr="00B52384" w:rsidRDefault="00F60E0B" w:rsidP="00F60E0B">
      <w:pPr>
        <w:pStyle w:val="Default"/>
        <w:rPr>
          <w:rFonts w:asciiTheme="minorHAnsi" w:hAnsiTheme="minorHAnsi" w:cs="Arial"/>
          <w:color w:val="auto"/>
        </w:rPr>
      </w:pPr>
      <w:r w:rsidRPr="00B52384">
        <w:rPr>
          <w:rFonts w:asciiTheme="minorHAnsi" w:hAnsiTheme="minorHAnsi" w:cs="Arial"/>
          <w:b/>
          <w:bCs/>
          <w:color w:val="auto"/>
        </w:rPr>
        <w:t xml:space="preserve">APPLICATIONS RECEIVED AFTER THIS DATE WILL NOT BE CONSIDERED </w:t>
      </w:r>
    </w:p>
    <w:p w:rsidR="00F60E0B" w:rsidRPr="00B52384" w:rsidRDefault="00F60E0B" w:rsidP="00F60E0B">
      <w:pPr>
        <w:rPr>
          <w:rFonts w:cs="Arial"/>
          <w:sz w:val="24"/>
          <w:szCs w:val="24"/>
        </w:rPr>
      </w:pPr>
      <w:r w:rsidRPr="00B52384">
        <w:rPr>
          <w:rFonts w:cs="Arial"/>
          <w:b/>
          <w:bCs/>
          <w:sz w:val="24"/>
          <w:szCs w:val="24"/>
        </w:rPr>
        <w:t xml:space="preserve">SUCCESSFUL APPLICANTS WILL BE NOTIFIED BY EMAIL NO LATER THAN THE END OF FEBRUARY 2019. </w:t>
      </w:r>
    </w:p>
    <w:p w:rsidR="003B1DC9" w:rsidRPr="00B52384" w:rsidRDefault="003B1DC9">
      <w:pPr>
        <w:rPr>
          <w:sz w:val="24"/>
          <w:szCs w:val="24"/>
        </w:rPr>
      </w:pPr>
    </w:p>
    <w:sectPr w:rsidR="003B1DC9" w:rsidRPr="00B52384" w:rsidSect="0041251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88C" w:rsidRDefault="006B288C" w:rsidP="00C847A2">
      <w:pPr>
        <w:spacing w:after="0" w:line="240" w:lineRule="auto"/>
      </w:pPr>
      <w:r>
        <w:separator/>
      </w:r>
    </w:p>
  </w:endnote>
  <w:endnote w:type="continuationSeparator" w:id="0">
    <w:p w:rsidR="006B288C" w:rsidRDefault="006B288C" w:rsidP="00C8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88C" w:rsidRDefault="006B288C" w:rsidP="00C847A2">
      <w:pPr>
        <w:spacing w:after="0" w:line="240" w:lineRule="auto"/>
      </w:pPr>
      <w:r>
        <w:separator/>
      </w:r>
    </w:p>
  </w:footnote>
  <w:footnote w:type="continuationSeparator" w:id="0">
    <w:p w:rsidR="006B288C" w:rsidRDefault="006B288C" w:rsidP="00C84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A2" w:rsidRDefault="00C847A2">
    <w:pPr>
      <w:pStyle w:val="Header"/>
    </w:pPr>
    <w:r w:rsidRPr="00F24C45">
      <w:rPr>
        <w:rFonts w:cs="Arial"/>
        <w:b/>
        <w:noProof/>
        <w:szCs w:val="24"/>
        <w:lang w:eastAsia="en-GB"/>
      </w:rPr>
      <w:drawing>
        <wp:anchor distT="0" distB="0" distL="114300" distR="114300" simplePos="0" relativeHeight="251659264" behindDoc="1" locked="0" layoutInCell="1" allowOverlap="1" wp14:anchorId="7DE5753B" wp14:editId="66CF53D7">
          <wp:simplePos x="0" y="0"/>
          <wp:positionH relativeFrom="page">
            <wp:align>right</wp:align>
          </wp:positionH>
          <wp:positionV relativeFrom="paragraph">
            <wp:posOffset>-451782</wp:posOffset>
          </wp:positionV>
          <wp:extent cx="2360930" cy="1371600"/>
          <wp:effectExtent l="0" t="0" r="1270" b="0"/>
          <wp:wrapTight wrapText="bothSides">
            <wp:wrapPolygon edited="0">
              <wp:start x="0" y="0"/>
              <wp:lineTo x="0" y="21300"/>
              <wp:lineTo x="21437" y="21300"/>
              <wp:lineTo x="214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E7C"/>
    <w:multiLevelType w:val="hybridMultilevel"/>
    <w:tmpl w:val="10E0C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2722C"/>
    <w:multiLevelType w:val="hybridMultilevel"/>
    <w:tmpl w:val="ACC481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461A01"/>
    <w:multiLevelType w:val="hybridMultilevel"/>
    <w:tmpl w:val="7E3429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0B"/>
    <w:rsid w:val="003B1DC9"/>
    <w:rsid w:val="006B288C"/>
    <w:rsid w:val="00A7559E"/>
    <w:rsid w:val="00AA552A"/>
    <w:rsid w:val="00B52384"/>
    <w:rsid w:val="00C847A2"/>
    <w:rsid w:val="00D27CED"/>
    <w:rsid w:val="00F6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1D28A-9250-4DC2-9A2C-8D9DFAF3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E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60E0B"/>
    <w:rPr>
      <w:color w:val="0563C1" w:themeColor="hyperlink"/>
      <w:u w:val="single"/>
    </w:rPr>
  </w:style>
  <w:style w:type="paragraph" w:styleId="Header">
    <w:name w:val="header"/>
    <w:basedOn w:val="Normal"/>
    <w:link w:val="HeaderChar"/>
    <w:uiPriority w:val="99"/>
    <w:unhideWhenUsed/>
    <w:rsid w:val="00C84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7A2"/>
  </w:style>
  <w:style w:type="paragraph" w:styleId="Footer">
    <w:name w:val="footer"/>
    <w:basedOn w:val="Normal"/>
    <w:link w:val="FooterChar"/>
    <w:uiPriority w:val="99"/>
    <w:unhideWhenUsed/>
    <w:rsid w:val="00C84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icide_prevention_grassroots_community_funding@middlesbrou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Bannister</dc:creator>
  <cp:keywords/>
  <dc:description/>
  <cp:lastModifiedBy>alpha102629</cp:lastModifiedBy>
  <cp:revision>2</cp:revision>
  <dcterms:created xsi:type="dcterms:W3CDTF">2018-11-26T10:51:00Z</dcterms:created>
  <dcterms:modified xsi:type="dcterms:W3CDTF">2018-11-26T10:51:00Z</dcterms:modified>
</cp:coreProperties>
</file>